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251" w:type="dxa"/>
        <w:tblLayout w:type="fixed"/>
        <w:tblLook w:val="04A0"/>
      </w:tblPr>
      <w:tblGrid>
        <w:gridCol w:w="317"/>
        <w:gridCol w:w="317"/>
        <w:gridCol w:w="459"/>
        <w:gridCol w:w="459"/>
        <w:gridCol w:w="459"/>
        <w:gridCol w:w="317"/>
        <w:gridCol w:w="317"/>
        <w:gridCol w:w="317"/>
        <w:gridCol w:w="317"/>
        <w:gridCol w:w="418"/>
        <w:gridCol w:w="2426"/>
        <w:gridCol w:w="1123"/>
        <w:gridCol w:w="517"/>
        <w:gridCol w:w="283"/>
        <w:gridCol w:w="1134"/>
        <w:gridCol w:w="236"/>
        <w:gridCol w:w="404"/>
        <w:gridCol w:w="408"/>
        <w:gridCol w:w="86"/>
        <w:gridCol w:w="318"/>
        <w:gridCol w:w="408"/>
        <w:gridCol w:w="408"/>
        <w:gridCol w:w="408"/>
        <w:gridCol w:w="584"/>
        <w:gridCol w:w="142"/>
        <w:gridCol w:w="266"/>
        <w:gridCol w:w="1010"/>
        <w:gridCol w:w="1134"/>
        <w:gridCol w:w="851"/>
        <w:gridCol w:w="408"/>
      </w:tblGrid>
      <w:tr w:rsidR="00C936F6" w:rsidRPr="006F01CA" w:rsidTr="00E12947">
        <w:trPr>
          <w:gridAfter w:val="1"/>
          <w:wAfter w:w="408" w:type="dxa"/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1E1200" w:rsidRDefault="00C936F6" w:rsidP="00E1294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E1200">
              <w:rPr>
                <w:bCs/>
                <w:sz w:val="18"/>
                <w:szCs w:val="18"/>
              </w:rPr>
              <w:t xml:space="preserve">Приложение </w:t>
            </w:r>
            <w:r w:rsidR="000F301B">
              <w:rPr>
                <w:bCs/>
                <w:sz w:val="18"/>
                <w:szCs w:val="18"/>
              </w:rPr>
              <w:t>1</w:t>
            </w:r>
          </w:p>
        </w:tc>
      </w:tr>
      <w:tr w:rsidR="00C936F6" w:rsidRPr="006F01CA" w:rsidTr="00E12947">
        <w:trPr>
          <w:gridAfter w:val="1"/>
          <w:wAfter w:w="408" w:type="dxa"/>
          <w:trHeight w:val="80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9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1E1200" w:rsidRDefault="00C936F6" w:rsidP="00E1294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E1200">
              <w:rPr>
                <w:bCs/>
                <w:sz w:val="18"/>
                <w:szCs w:val="18"/>
              </w:rPr>
              <w:t> </w:t>
            </w:r>
          </w:p>
          <w:p w:rsidR="00C936F6" w:rsidRPr="001E1200" w:rsidRDefault="00C936F6" w:rsidP="00E12947">
            <w:pPr>
              <w:jc w:val="right"/>
              <w:rPr>
                <w:sz w:val="18"/>
                <w:szCs w:val="18"/>
              </w:rPr>
            </w:pPr>
            <w:r w:rsidRPr="001E1200">
              <w:rPr>
                <w:sz w:val="18"/>
                <w:szCs w:val="18"/>
              </w:rPr>
              <w:t xml:space="preserve">к  муниципальной программе </w:t>
            </w:r>
            <w:proofErr w:type="spellStart"/>
            <w:r w:rsidRPr="001E1200">
              <w:rPr>
                <w:sz w:val="18"/>
                <w:szCs w:val="18"/>
              </w:rPr>
              <w:t>Кувшиновского</w:t>
            </w:r>
            <w:proofErr w:type="spellEnd"/>
            <w:r w:rsidRPr="001E1200">
              <w:rPr>
                <w:sz w:val="18"/>
                <w:szCs w:val="18"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1E1200">
              <w:rPr>
                <w:sz w:val="18"/>
                <w:szCs w:val="18"/>
              </w:rPr>
              <w:t>Кувшиновский</w:t>
            </w:r>
            <w:proofErr w:type="spellEnd"/>
            <w:r w:rsidRPr="001E1200">
              <w:rPr>
                <w:sz w:val="18"/>
                <w:szCs w:val="18"/>
              </w:rPr>
              <w:t xml:space="preserve">  район" Тверской области на 2015-2017 годы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C936F6" w:rsidRPr="006F01CA" w:rsidTr="00E12947">
        <w:trPr>
          <w:gridAfter w:val="1"/>
          <w:wAfter w:w="408" w:type="dxa"/>
          <w:trHeight w:val="42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C06A09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0E3A">
              <w:rPr>
                <w:b/>
                <w:bCs/>
              </w:rPr>
              <w:t xml:space="preserve">Характеристика   муниципальной 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района Тверской области</w:t>
            </w:r>
          </w:p>
        </w:tc>
      </w:tr>
      <w:tr w:rsidR="00C936F6" w:rsidRPr="006F01CA" w:rsidTr="00E12947">
        <w:trPr>
          <w:gridAfter w:val="1"/>
          <w:wAfter w:w="408" w:type="dxa"/>
          <w:trHeight w:val="390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/>
                <w:bCs/>
                <w:i/>
                <w:iCs/>
              </w:rPr>
              <w:t>"Развитие образования в муниципальном образовании  "</w:t>
            </w:r>
            <w:proofErr w:type="spellStart"/>
            <w:r w:rsidRPr="00830E3A">
              <w:rPr>
                <w:b/>
                <w:bCs/>
                <w:i/>
                <w:iCs/>
              </w:rPr>
              <w:t>Кувшиновский</w:t>
            </w:r>
            <w:proofErr w:type="spellEnd"/>
            <w:r w:rsidRPr="00830E3A">
              <w:rPr>
                <w:b/>
                <w:bCs/>
                <w:i/>
                <w:iCs/>
              </w:rPr>
              <w:t xml:space="preserve"> район" на 2015-2017 годы"</w:t>
            </w:r>
          </w:p>
        </w:tc>
      </w:tr>
      <w:tr w:rsidR="00C936F6" w:rsidRPr="006F01CA" w:rsidTr="00E12947">
        <w:trPr>
          <w:gridAfter w:val="1"/>
          <w:wAfter w:w="408" w:type="dxa"/>
          <w:trHeight w:val="37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830E3A">
              <w:rPr>
                <w:bCs/>
                <w:i/>
                <w:iCs/>
              </w:rPr>
              <w:t>(наименование муниципальной  программы)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830E3A">
              <w:rPr>
                <w:bCs/>
                <w:i/>
                <w:iCs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38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0E3A">
              <w:rPr>
                <w:b/>
                <w:bCs/>
              </w:rPr>
              <w:t xml:space="preserve">Главный администратор  муниципальной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района Тверской области - МУ </w:t>
            </w:r>
            <w:proofErr w:type="spellStart"/>
            <w:r w:rsidRPr="00830E3A">
              <w:rPr>
                <w:b/>
                <w:bCs/>
              </w:rPr>
              <w:t>Кувшиновский</w:t>
            </w:r>
            <w:proofErr w:type="spellEnd"/>
            <w:r w:rsidRPr="00830E3A">
              <w:rPr>
                <w:b/>
                <w:bCs/>
              </w:rPr>
              <w:t xml:space="preserve"> РОО</w:t>
            </w:r>
          </w:p>
        </w:tc>
      </w:tr>
      <w:tr w:rsidR="00C936F6" w:rsidRPr="006F01CA" w:rsidTr="00E12947">
        <w:trPr>
          <w:gridAfter w:val="1"/>
          <w:wAfter w:w="408" w:type="dxa"/>
          <w:trHeight w:val="57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0E3A">
              <w:rPr>
                <w:b/>
                <w:bCs/>
              </w:rPr>
              <w:t xml:space="preserve">Администратор  муниципальной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</w:t>
            </w:r>
            <w:proofErr w:type="spellStart"/>
            <w:r w:rsidRPr="00830E3A">
              <w:rPr>
                <w:b/>
                <w:bCs/>
              </w:rPr>
              <w:t>районаТверской</w:t>
            </w:r>
            <w:proofErr w:type="spellEnd"/>
            <w:r w:rsidRPr="00830E3A">
              <w:rPr>
                <w:b/>
                <w:bCs/>
              </w:rPr>
              <w:t xml:space="preserve"> области - руководители муниципальных образовательных организаций</w:t>
            </w:r>
          </w:p>
        </w:tc>
      </w:tr>
      <w:tr w:rsidR="00C936F6" w:rsidRPr="006F01CA" w:rsidTr="00E12947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</w:tr>
      <w:tr w:rsidR="00C936F6" w:rsidRPr="006F01CA" w:rsidTr="00E12947">
        <w:trPr>
          <w:trHeight w:val="390"/>
        </w:trPr>
        <w:tc>
          <w:tcPr>
            <w:tcW w:w="16251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6F6" w:rsidRPr="000240A2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  <w:r w:rsidRPr="000240A2">
              <w:rPr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  <w:p w:rsidR="00C936F6" w:rsidRPr="000240A2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 xml:space="preserve">1.Программа - муниципальная  программа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0240A2">
              <w:rPr>
                <w:bCs/>
                <w:i/>
                <w:iCs/>
              </w:rPr>
              <w:t>Кувшиновский</w:t>
            </w:r>
            <w:proofErr w:type="spellEnd"/>
            <w:r w:rsidRPr="000240A2">
              <w:rPr>
                <w:bCs/>
                <w:i/>
                <w:iCs/>
              </w:rPr>
              <w:t xml:space="preserve"> район" Тверской области на 2015-2018 годы"</w:t>
            </w:r>
          </w:p>
          <w:p w:rsidR="00C936F6" w:rsidRPr="000240A2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 xml:space="preserve">2. Подпрограмма  - подпрограмма муниципальной  программы 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"Развитие образования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на 2015-2018 годы"</w:t>
            </w:r>
          </w:p>
          <w:p w:rsidR="00C936F6" w:rsidRPr="000240A2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>3. Задача - задача подпрограммы.</w:t>
            </w:r>
          </w:p>
          <w:p w:rsidR="00C936F6" w:rsidRDefault="00C936F6" w:rsidP="00E1294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>4. Мероприятие - мероприятие подпрограммы.</w:t>
            </w:r>
          </w:p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</w:p>
        </w:tc>
      </w:tr>
      <w:tr w:rsidR="00C936F6" w:rsidRPr="006F01CA" w:rsidTr="00E12947">
        <w:trPr>
          <w:gridAfter w:val="1"/>
          <w:wAfter w:w="408" w:type="dxa"/>
          <w:trHeight w:val="341"/>
        </w:trPr>
        <w:tc>
          <w:tcPr>
            <w:tcW w:w="3697" w:type="dxa"/>
            <w:gridSpan w:val="10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Дополнительный аналитический код</w:t>
            </w:r>
          </w:p>
        </w:tc>
        <w:tc>
          <w:tcPr>
            <w:tcW w:w="4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Единица 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Финансовый год, предшествующий реализации программы,         2016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Целевое (суммарное) значение показателя</w:t>
            </w:r>
          </w:p>
        </w:tc>
      </w:tr>
      <w:tr w:rsidR="00C936F6" w:rsidRPr="006F01CA" w:rsidTr="00E12947">
        <w:trPr>
          <w:gridAfter w:val="1"/>
          <w:wAfter w:w="408" w:type="dxa"/>
          <w:trHeight w:val="418"/>
        </w:trPr>
        <w:tc>
          <w:tcPr>
            <w:tcW w:w="634" w:type="dxa"/>
            <w:gridSpan w:val="2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программа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задача программы</w:t>
            </w:r>
          </w:p>
        </w:tc>
        <w:tc>
          <w:tcPr>
            <w:tcW w:w="951" w:type="dxa"/>
            <w:gridSpan w:val="3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(подпрограммы или административное)</w:t>
            </w:r>
          </w:p>
        </w:tc>
        <w:tc>
          <w:tcPr>
            <w:tcW w:w="735" w:type="dxa"/>
            <w:gridSpan w:val="2"/>
            <w:vMerge w:val="restart"/>
            <w:textDirection w:val="btL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номер показателя</w:t>
            </w: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936F6" w:rsidRPr="006F01CA" w:rsidTr="00E12947">
        <w:trPr>
          <w:gridAfter w:val="1"/>
          <w:wAfter w:w="408" w:type="dxa"/>
          <w:trHeight w:val="1409"/>
        </w:trPr>
        <w:tc>
          <w:tcPr>
            <w:tcW w:w="634" w:type="dxa"/>
            <w:gridSpan w:val="2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год  достижения</w:t>
            </w:r>
          </w:p>
        </w:tc>
      </w:tr>
      <w:tr w:rsidR="00C936F6" w:rsidRPr="006F01CA" w:rsidTr="00E12947">
        <w:trPr>
          <w:gridAfter w:val="1"/>
          <w:wAfter w:w="408" w:type="dxa"/>
          <w:trHeight w:val="31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9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10</w:t>
            </w:r>
          </w:p>
        </w:tc>
        <w:tc>
          <w:tcPr>
            <w:tcW w:w="4349" w:type="dxa"/>
            <w:gridSpan w:val="4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12</w:t>
            </w:r>
          </w:p>
        </w:tc>
        <w:tc>
          <w:tcPr>
            <w:tcW w:w="1134" w:type="dxa"/>
            <w:gridSpan w:val="4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13</w:t>
            </w:r>
          </w:p>
        </w:tc>
        <w:tc>
          <w:tcPr>
            <w:tcW w:w="1134" w:type="dxa"/>
            <w:gridSpan w:val="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14</w:t>
            </w:r>
          </w:p>
        </w:tc>
        <w:tc>
          <w:tcPr>
            <w:tcW w:w="1134" w:type="dxa"/>
            <w:gridSpan w:val="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15</w:t>
            </w:r>
          </w:p>
        </w:tc>
        <w:tc>
          <w:tcPr>
            <w:tcW w:w="1276" w:type="dxa"/>
            <w:gridSpan w:val="2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16</w:t>
            </w:r>
          </w:p>
        </w:tc>
        <w:tc>
          <w:tcPr>
            <w:tcW w:w="1134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19</w:t>
            </w:r>
          </w:p>
        </w:tc>
        <w:tc>
          <w:tcPr>
            <w:tcW w:w="851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20</w:t>
            </w:r>
          </w:p>
        </w:tc>
      </w:tr>
      <w:tr w:rsidR="00C936F6" w:rsidRPr="006F01CA" w:rsidTr="00E12947">
        <w:trPr>
          <w:gridAfter w:val="1"/>
          <w:wAfter w:w="408" w:type="dxa"/>
          <w:trHeight w:val="31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ПРОГРАММА, всего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130377,3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141859,4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133381,8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813727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143015,5</w:t>
            </w:r>
          </w:p>
        </w:tc>
        <w:tc>
          <w:tcPr>
            <w:tcW w:w="1134" w:type="dxa"/>
            <w:vAlign w:val="center"/>
            <w:hideMark/>
          </w:tcPr>
          <w:p w:rsidR="00C936F6" w:rsidRDefault="00813727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418256,7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52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6F01CA" w:rsidRDefault="00813727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55900,8</w:t>
            </w:r>
          </w:p>
        </w:tc>
        <w:tc>
          <w:tcPr>
            <w:tcW w:w="1134" w:type="dxa"/>
            <w:vAlign w:val="center"/>
            <w:hideMark/>
          </w:tcPr>
          <w:p w:rsidR="00C936F6" w:rsidRPr="006F01CA" w:rsidRDefault="00813727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55900,8</w:t>
            </w:r>
          </w:p>
        </w:tc>
        <w:tc>
          <w:tcPr>
            <w:tcW w:w="851" w:type="dxa"/>
            <w:vMerge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936F6" w:rsidRPr="006F01CA" w:rsidTr="00E12947">
        <w:trPr>
          <w:gridAfter w:val="1"/>
          <w:wAfter w:w="408" w:type="dxa"/>
          <w:trHeight w:val="283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C06A09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C06A09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C06A09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6A09">
              <w:rPr>
                <w:bCs/>
                <w:sz w:val="22"/>
                <w:szCs w:val="22"/>
              </w:rPr>
              <w:t xml:space="preserve">Областной </w:t>
            </w:r>
            <w:r w:rsidRPr="00C06A09">
              <w:rPr>
                <w:bCs/>
                <w:sz w:val="22"/>
                <w:szCs w:val="22"/>
              </w:rPr>
              <w:lastRenderedPageBreak/>
              <w:t>бюджет, тыс</w:t>
            </w:r>
            <w:proofErr w:type="gramStart"/>
            <w:r w:rsidRPr="00C06A09">
              <w:rPr>
                <w:bCs/>
                <w:sz w:val="22"/>
                <w:szCs w:val="22"/>
              </w:rPr>
              <w:t>.р</w:t>
            </w:r>
            <w:proofErr w:type="gramEnd"/>
            <w:r w:rsidRPr="00C06A09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6F01CA" w:rsidRDefault="00813727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79522,3</w:t>
            </w:r>
          </w:p>
        </w:tc>
        <w:tc>
          <w:tcPr>
            <w:tcW w:w="1134" w:type="dxa"/>
            <w:vAlign w:val="center"/>
            <w:hideMark/>
          </w:tcPr>
          <w:p w:rsidR="00C936F6" w:rsidRPr="006F01CA" w:rsidRDefault="00813727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79522,3</w:t>
            </w:r>
          </w:p>
        </w:tc>
        <w:tc>
          <w:tcPr>
            <w:tcW w:w="851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936F6" w:rsidRPr="006F01CA" w:rsidTr="00E12947">
        <w:trPr>
          <w:gridAfter w:val="1"/>
          <w:wAfter w:w="408" w:type="dxa"/>
          <w:trHeight w:val="480"/>
        </w:trPr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noWrap/>
            <w:hideMark/>
          </w:tcPr>
          <w:p w:rsidR="00C936F6" w:rsidRPr="00C06A09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C06A09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C06A09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6A09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C06A09">
              <w:rPr>
                <w:bCs/>
                <w:sz w:val="22"/>
                <w:szCs w:val="22"/>
              </w:rPr>
              <w:t>.р</w:t>
            </w:r>
            <w:proofErr w:type="gramEnd"/>
            <w:r w:rsidRPr="00C06A09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7592,4</w:t>
            </w:r>
          </w:p>
        </w:tc>
        <w:tc>
          <w:tcPr>
            <w:tcW w:w="1134" w:type="dxa"/>
            <w:vAlign w:val="center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7592,4</w:t>
            </w:r>
          </w:p>
        </w:tc>
        <w:tc>
          <w:tcPr>
            <w:tcW w:w="851" w:type="dxa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936F6" w:rsidRPr="006F01CA" w:rsidTr="00E12947">
        <w:trPr>
          <w:gridAfter w:val="1"/>
          <w:wAfter w:w="408" w:type="dxa"/>
          <w:trHeight w:val="1410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3AB8">
              <w:rPr>
                <w:bCs/>
                <w:sz w:val="22"/>
                <w:szCs w:val="22"/>
                <w:u w:val="single"/>
              </w:rPr>
              <w:t>Цель 1</w:t>
            </w:r>
            <w:r w:rsidRPr="006F01CA">
              <w:rPr>
                <w:bCs/>
                <w:sz w:val="22"/>
                <w:szCs w:val="22"/>
              </w:rPr>
              <w:t xml:space="preserve">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675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435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цели 1 "Охват детей дошкольным образованием"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630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65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975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020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6 цели 1 "Доля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 w:rsidRPr="006F01CA">
              <w:rPr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495"/>
        </w:trPr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hideMark/>
          </w:tcPr>
          <w:p w:rsidR="00C936F6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ПОДПРОГРАММА 1 </w:t>
            </w:r>
          </w:p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"Развитие дошкольного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34065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39186,4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37875,9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Pr="00CF7654" w:rsidRDefault="00E12947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40179,1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E12947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117241,4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495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Pr="00CF7654" w:rsidRDefault="00E12947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17509,3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E12947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17509,3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10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17547,0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E12947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17547,0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85"/>
        </w:trPr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Задача 1 подпрограммы 1 "Обеспечение доступности  услуг дошкольного образования населению </w:t>
            </w:r>
            <w:proofErr w:type="spellStart"/>
            <w:r w:rsidRPr="006F01CA">
              <w:rPr>
                <w:b/>
                <w:bCs/>
                <w:sz w:val="22"/>
                <w:szCs w:val="22"/>
              </w:rPr>
              <w:t>Кувшиновского</w:t>
            </w:r>
            <w:proofErr w:type="spellEnd"/>
            <w:r w:rsidRPr="006F01CA">
              <w:rPr>
                <w:b/>
                <w:bCs/>
                <w:sz w:val="22"/>
                <w:szCs w:val="22"/>
              </w:rPr>
              <w:t xml:space="preserve"> района</w:t>
            </w:r>
            <w:proofErr w:type="gramStart"/>
            <w:r w:rsidRPr="006F01CA">
              <w:rPr>
                <w:b/>
                <w:bCs/>
                <w:sz w:val="22"/>
                <w:szCs w:val="22"/>
              </w:rPr>
              <w:t xml:space="preserve">." 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32940,2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37467,6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35887,9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1D0390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38273,1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1D0390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111628,6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Pr="00353C41" w:rsidRDefault="001D0390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17509,3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1D0390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17509,3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Pr="00353C41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15641,0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1D0390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15641,0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780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Pr="00353C41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Pr="00353C41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Pr="00353C41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Pr="00353C41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Pr="00353C41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Pr="00353C41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660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660"/>
        </w:trPr>
        <w:tc>
          <w:tcPr>
            <w:tcW w:w="317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Pr="00813727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813727">
              <w:rPr>
                <w:color w:val="000000"/>
                <w:sz w:val="22"/>
                <w:szCs w:val="22"/>
              </w:rPr>
              <w:t>13727,3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Pr="00813727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813727">
              <w:rPr>
                <w:color w:val="000000"/>
                <w:sz w:val="22"/>
                <w:szCs w:val="22"/>
              </w:rPr>
              <w:t>16049,0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15342,0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A04EBD" w:rsidRDefault="00813727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14434,4</w:t>
            </w:r>
          </w:p>
        </w:tc>
        <w:tc>
          <w:tcPr>
            <w:tcW w:w="1134" w:type="dxa"/>
            <w:vAlign w:val="center"/>
            <w:hideMark/>
          </w:tcPr>
          <w:p w:rsidR="00C936F6" w:rsidRPr="00A04EBD" w:rsidRDefault="00813727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45825,4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990"/>
        </w:trPr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A04EBD" w:rsidRDefault="00813727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14434,4</w:t>
            </w:r>
          </w:p>
        </w:tc>
        <w:tc>
          <w:tcPr>
            <w:tcW w:w="1134" w:type="dxa"/>
            <w:vAlign w:val="center"/>
            <w:hideMark/>
          </w:tcPr>
          <w:p w:rsidR="00C936F6" w:rsidRPr="00A04EBD" w:rsidRDefault="00813727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14434,4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35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945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8D3FCA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134" w:type="dxa"/>
            <w:vAlign w:val="center"/>
            <w:hideMark/>
          </w:tcPr>
          <w:p w:rsidR="00C936F6" w:rsidRDefault="008D3FCA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106,47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630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 1.02."Укрепление и развитие материально-технической базы </w:t>
            </w:r>
            <w:r w:rsidRPr="006F01CA">
              <w:rPr>
                <w:b/>
                <w:bCs/>
                <w:sz w:val="22"/>
                <w:szCs w:val="22"/>
              </w:rPr>
              <w:lastRenderedPageBreak/>
              <w:t xml:space="preserve">" 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413,3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690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1.02. "Доля учреждений, получивших предписание надзорных органов"  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50"/>
        </w:trPr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A04EBD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134" w:type="dxa"/>
            <w:vAlign w:val="center"/>
            <w:hideMark/>
          </w:tcPr>
          <w:p w:rsidR="00C936F6" w:rsidRPr="00A04EBD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1.03. "Доля учреждений, в которых проведены мероприятия </w:t>
            </w:r>
            <w:proofErr w:type="gramStart"/>
            <w:r w:rsidRPr="006F01CA">
              <w:rPr>
                <w:bCs/>
                <w:sz w:val="22"/>
                <w:szCs w:val="22"/>
              </w:rPr>
              <w:t>комплексной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01CA">
              <w:rPr>
                <w:bCs/>
                <w:sz w:val="22"/>
                <w:szCs w:val="22"/>
              </w:rPr>
              <w:t>безопвсности</w:t>
            </w:r>
            <w:proofErr w:type="spellEnd"/>
            <w:r w:rsidRPr="006F01CA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1.04.  "Капитальные вложения и капитальный ремонт"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164,9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5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17028,7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18577,9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18413,2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15641,0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52632,1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990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15641,0</w:t>
            </w:r>
          </w:p>
        </w:tc>
        <w:tc>
          <w:tcPr>
            <w:tcW w:w="1134" w:type="dxa"/>
            <w:vAlign w:val="center"/>
            <w:hideMark/>
          </w:tcPr>
          <w:p w:rsidR="00C936F6" w:rsidRDefault="00813727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15641,0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2108,4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1706,4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8049,6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11864,4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2926,8</w:t>
            </w:r>
          </w:p>
        </w:tc>
        <w:tc>
          <w:tcPr>
            <w:tcW w:w="1134" w:type="dxa"/>
            <w:vAlign w:val="center"/>
            <w:hideMark/>
          </w:tcPr>
          <w:p w:rsidR="00C936F6" w:rsidRDefault="00813727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2926,8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870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1.06. "Численность детей в дошкольных учреждениях, обеспеченных питанием"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Задача 2 "Содействие развитию дошкольного образования в </w:t>
            </w:r>
            <w:proofErr w:type="spellStart"/>
            <w:r w:rsidRPr="006F01CA">
              <w:rPr>
                <w:b/>
                <w:bCs/>
                <w:sz w:val="22"/>
                <w:szCs w:val="22"/>
              </w:rPr>
              <w:t>Кувшиновском</w:t>
            </w:r>
            <w:proofErr w:type="spellEnd"/>
            <w:r w:rsidRPr="006F01CA">
              <w:rPr>
                <w:b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  <w:r w:rsidR="00893F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  <w:r w:rsidR="00893F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1.01. "Компенсация части родительской платы за присмотр и уход за ребенком  в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  <w:r w:rsidR="00893F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  <w:r w:rsidR="00893F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5612,8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320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  <w:r w:rsidR="00893F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75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6F01CA">
              <w:rPr>
                <w:bCs/>
                <w:sz w:val="22"/>
                <w:szCs w:val="22"/>
              </w:rPr>
              <w:t xml:space="preserve">." </w:t>
            </w:r>
            <w:proofErr w:type="gramEnd"/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660"/>
        </w:trPr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hideMark/>
          </w:tcPr>
          <w:p w:rsidR="00C936F6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6F01CA">
              <w:rPr>
                <w:b/>
                <w:bCs/>
                <w:sz w:val="22"/>
                <w:szCs w:val="22"/>
              </w:rPr>
              <w:t xml:space="preserve"> 2 </w:t>
            </w:r>
          </w:p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"Развитие общего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83044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90456,1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86678,5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Default="00893F22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90776,8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Default="00893F22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267911,4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64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Pr="00CF7654" w:rsidRDefault="00893F22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28482,3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893F22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28482,3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61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Pr="00CF7654" w:rsidRDefault="00893F22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59824,9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893F22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59824,9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Pr="00CF7654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Задача 1 подпрограммы 2 "Обеспечение доступности услуг общего образования населению </w:t>
            </w:r>
            <w:proofErr w:type="spellStart"/>
            <w:r w:rsidRPr="006F01CA">
              <w:rPr>
                <w:b/>
                <w:bCs/>
                <w:sz w:val="22"/>
                <w:szCs w:val="22"/>
              </w:rPr>
              <w:t>Кувшиновского</w:t>
            </w:r>
            <w:proofErr w:type="spellEnd"/>
            <w:r w:rsidRPr="006F01CA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77990,6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84202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80540,7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Pr="00F178E2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82857,5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Pr="00F178E2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247600,2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23286,3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23286,3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57101,6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57101,6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6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6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2.01 "Организация предоставления муниципальных услуг общеобразовательными учреждениями в </w:t>
            </w:r>
            <w:r w:rsidRPr="006F01CA">
              <w:rPr>
                <w:b/>
                <w:bCs/>
                <w:sz w:val="22"/>
                <w:szCs w:val="22"/>
              </w:rPr>
              <w:lastRenderedPageBreak/>
              <w:t xml:space="preserve">рамках муниципального задания"  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lastRenderedPageBreak/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17802,9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18753,9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17671,6</w:t>
            </w:r>
          </w:p>
        </w:tc>
        <w:tc>
          <w:tcPr>
            <w:tcW w:w="1134" w:type="dxa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55857,5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06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17671,6</w:t>
            </w:r>
          </w:p>
        </w:tc>
        <w:tc>
          <w:tcPr>
            <w:tcW w:w="1134" w:type="dxa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55857,5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6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080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8D3FCA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13,59</w:t>
            </w:r>
          </w:p>
        </w:tc>
        <w:tc>
          <w:tcPr>
            <w:tcW w:w="1134" w:type="dxa"/>
            <w:vAlign w:val="center"/>
            <w:hideMark/>
          </w:tcPr>
          <w:p w:rsidR="00C936F6" w:rsidRDefault="008D3FCA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6 мероприятия 2.01 "Доля детей, обучающихся во 2 смену"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893F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2.02 "Укрепление и развитие материально-технической базы" 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1428,7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3474,5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1092,0</w:t>
            </w:r>
          </w:p>
        </w:tc>
        <w:tc>
          <w:tcPr>
            <w:tcW w:w="1134" w:type="dxa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5995,2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134" w:type="dxa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  <w:hideMark/>
          </w:tcPr>
          <w:p w:rsidR="00C936F6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Pr="00A04EBD" w:rsidRDefault="00893F22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864,7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2.03. "Доля учреждений, в которых проведены мероприятия </w:t>
            </w:r>
            <w:proofErr w:type="gramStart"/>
            <w:r w:rsidRPr="006F01CA">
              <w:rPr>
                <w:bCs/>
                <w:sz w:val="22"/>
                <w:szCs w:val="22"/>
              </w:rPr>
              <w:t>комплексной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01CA">
              <w:rPr>
                <w:bCs/>
                <w:sz w:val="22"/>
                <w:szCs w:val="22"/>
              </w:rPr>
              <w:t>безопвсности</w:t>
            </w:r>
            <w:proofErr w:type="spellEnd"/>
            <w:r w:rsidRPr="006F01CA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2.04 "Капитальные вложения и капитальный ремонт"</w:t>
            </w:r>
          </w:p>
        </w:tc>
        <w:tc>
          <w:tcPr>
            <w:tcW w:w="1134" w:type="dxa"/>
            <w:hideMark/>
          </w:tcPr>
          <w:p w:rsidR="00C936F6" w:rsidRPr="006F01CA" w:rsidRDefault="00B07A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Местный бюджет </w:t>
            </w:r>
            <w:r w:rsidR="00C936F6"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="00C936F6"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="00C936F6"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Pr="00C4120E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134" w:type="dxa"/>
            <w:vAlign w:val="center"/>
            <w:hideMark/>
          </w:tcPr>
          <w:p w:rsidR="00C936F6" w:rsidRPr="00C4120E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2.05</w:t>
            </w:r>
            <w:r w:rsidRPr="006F01CA">
              <w:rPr>
                <w:b/>
                <w:bCs/>
                <w:sz w:val="22"/>
                <w:szCs w:val="22"/>
              </w:rPr>
              <w:t xml:space="preserve">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2708,3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2790,3</w:t>
            </w:r>
          </w:p>
        </w:tc>
        <w:tc>
          <w:tcPr>
            <w:tcW w:w="1134" w:type="dxa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8229,3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1522,7</w:t>
            </w:r>
          </w:p>
        </w:tc>
        <w:tc>
          <w:tcPr>
            <w:tcW w:w="1134" w:type="dxa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1522,7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1267,6</w:t>
            </w:r>
          </w:p>
        </w:tc>
        <w:tc>
          <w:tcPr>
            <w:tcW w:w="1134" w:type="dxa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1267,6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2.06</w:t>
            </w:r>
            <w:r w:rsidRPr="006F01CA">
              <w:rPr>
                <w:b/>
                <w:bCs/>
                <w:sz w:val="22"/>
                <w:szCs w:val="22"/>
              </w:rPr>
              <w:t xml:space="preserve">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56895,8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60041,9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55308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54834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170183,9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54834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54834,0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290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2.08 «Организация обеспечения учащихся среднего и старшего звена муниципальных общеобразовательных учреждений горячим питанием»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2.08.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420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3259,4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4353,9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4389,2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6103,0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14846,1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4227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4227,0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70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Областной </w:t>
            </w:r>
            <w:r w:rsidRPr="006F01CA">
              <w:rPr>
                <w:bCs/>
                <w:sz w:val="22"/>
                <w:szCs w:val="22"/>
              </w:rPr>
              <w:lastRenderedPageBreak/>
              <w:t>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1876,0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2    "Доля сельских школьников, нуждающихся в подвозе, которым обеспечен ежедневный </w:t>
            </w:r>
            <w:r>
              <w:rPr>
                <w:bCs/>
                <w:sz w:val="22"/>
                <w:szCs w:val="22"/>
              </w:rPr>
              <w:t>2</w:t>
            </w:r>
            <w:r w:rsidRPr="006F01CA">
              <w:rPr>
                <w:bCs/>
                <w:sz w:val="22"/>
                <w:szCs w:val="22"/>
              </w:rPr>
              <w:t>подвоз в общеобразовательные учреждения специальным школьным автотранспортом</w:t>
            </w:r>
            <w:proofErr w:type="gramStart"/>
            <w:r w:rsidRPr="006F01CA">
              <w:rPr>
                <w:bCs/>
                <w:sz w:val="22"/>
                <w:szCs w:val="22"/>
              </w:rPr>
              <w:t xml:space="preserve">."   </w:t>
            </w:r>
            <w:proofErr w:type="gramEnd"/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Мероприятие 2.01 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3259,4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4353,9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4389,2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5005,0</w:t>
            </w:r>
          </w:p>
        </w:tc>
        <w:tc>
          <w:tcPr>
            <w:tcW w:w="1134" w:type="dxa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13748,1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826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4227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4227,0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1134" w:type="dxa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020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</w:t>
            </w:r>
            <w:proofErr w:type="gramStart"/>
            <w:r w:rsidRPr="006F01CA">
              <w:rPr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290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24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6F01CA">
              <w:rPr>
                <w:bCs/>
                <w:sz w:val="22"/>
                <w:szCs w:val="22"/>
              </w:rPr>
              <w:t>Р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8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</w:t>
            </w:r>
            <w:r w:rsidRPr="006F01CA">
              <w:rPr>
                <w:bCs/>
                <w:sz w:val="22"/>
                <w:szCs w:val="22"/>
              </w:rPr>
              <w:lastRenderedPageBreak/>
              <w:t>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680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 w:rsidRPr="006F01CA">
              <w:rPr>
                <w:bCs/>
                <w:sz w:val="22"/>
                <w:szCs w:val="22"/>
              </w:rPr>
              <w:t>тахографами</w:t>
            </w:r>
            <w:proofErr w:type="spellEnd"/>
            <w:r w:rsidRPr="006F01CA">
              <w:rPr>
                <w:bCs/>
                <w:sz w:val="22"/>
                <w:szCs w:val="22"/>
              </w:rPr>
              <w:t>."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96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40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1548,6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4865,1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510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6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847,3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auto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3.01. "Организация отдыха детей в каникулярное время"   </w:t>
            </w:r>
          </w:p>
        </w:tc>
        <w:tc>
          <w:tcPr>
            <w:tcW w:w="1134" w:type="dxa"/>
            <w:shd w:val="clear" w:color="auto" w:fill="auto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auto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  <w:r w:rsidR="00B07A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auto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6F6" w:rsidRDefault="00B07A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115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4.01 "Численность учащихся, трудоустроенных в период каникул" 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FDE9D9" w:themeFill="accent6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FDE9D9" w:themeFill="accent6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Подпрограмма 3 "Развитие дополнительного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C936F6" w:rsidRPr="00982F0E" w:rsidRDefault="00C936F6" w:rsidP="00E129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2F0E">
              <w:rPr>
                <w:b/>
                <w:bCs/>
                <w:sz w:val="22"/>
                <w:szCs w:val="22"/>
              </w:rPr>
              <w:t>Местный бюджет, тыс</w:t>
            </w:r>
            <w:proofErr w:type="gramStart"/>
            <w:r w:rsidRPr="00982F0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982F0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C936F6" w:rsidRPr="00982F0E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982F0E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C936F6" w:rsidRPr="00982F0E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C936F6" w:rsidRPr="00982F0E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C936F6" w:rsidRPr="00982F0E" w:rsidRDefault="00C936F6" w:rsidP="00E129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1543,3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DBE5F1" w:themeFill="accent1" w:themeFillTint="33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1543,3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936F6" w:rsidRPr="006F01CA" w:rsidTr="00E12947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936F6" w:rsidRPr="006F01CA" w:rsidTr="00E12947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936F6" w:rsidRPr="006F01CA" w:rsidTr="00E12947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C936F6" w:rsidRPr="00830E3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1.02 "Доля расходов на укрепление и развитие </w:t>
            </w:r>
            <w:proofErr w:type="spellStart"/>
            <w:r w:rsidRPr="006F01CA">
              <w:rPr>
                <w:bCs/>
                <w:sz w:val="22"/>
                <w:szCs w:val="22"/>
              </w:rPr>
              <w:t>метериально-технической</w:t>
            </w:r>
            <w:proofErr w:type="spellEnd"/>
            <w:r w:rsidRPr="006F01CA">
              <w:rPr>
                <w:bCs/>
                <w:sz w:val="22"/>
                <w:szCs w:val="22"/>
              </w:rPr>
              <w:t xml:space="preserve"> базы к общему объему расходов"</w:t>
            </w:r>
          </w:p>
        </w:tc>
        <w:tc>
          <w:tcPr>
            <w:tcW w:w="1134" w:type="dxa"/>
            <w:hideMark/>
          </w:tcPr>
          <w:p w:rsidR="00C936F6" w:rsidRPr="006F01CA" w:rsidRDefault="00C936F6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936F6" w:rsidRDefault="00C936F6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0F301B" w:rsidRPr="006F01CA" w:rsidTr="006F6A44">
        <w:trPr>
          <w:gridAfter w:val="1"/>
          <w:wAfter w:w="408" w:type="dxa"/>
          <w:trHeight w:val="230"/>
        </w:trPr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hideMark/>
          </w:tcPr>
          <w:p w:rsidR="000F301B" w:rsidRPr="006F01CA" w:rsidRDefault="000F301B" w:rsidP="00E1294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ОБЕСПЕЧИВАЮЩАЯ ПОДПРОГРАММА  9 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0F301B" w:rsidRPr="006F01CA" w:rsidRDefault="000F301B" w:rsidP="00B21C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7356,3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10718,4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8811,4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12030,8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31560,6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  <w:hideMark/>
          </w:tcPr>
          <w:p w:rsidR="000F301B" w:rsidRDefault="000F301B" w:rsidP="00E12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0F301B" w:rsidRPr="006F01CA" w:rsidTr="006F6A44">
        <w:trPr>
          <w:gridAfter w:val="1"/>
          <w:wAfter w:w="408" w:type="dxa"/>
          <w:trHeight w:val="230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0F301B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0F301B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0F301B" w:rsidRPr="006F01CA" w:rsidRDefault="000F301B" w:rsidP="00E129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0F301B" w:rsidRPr="006F01CA" w:rsidRDefault="000F301B" w:rsidP="00B21C7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б-т</w:t>
            </w:r>
            <w:proofErr w:type="spellEnd"/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Кувшиновский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9880,4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9880,4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  <w:hideMark/>
          </w:tcPr>
          <w:p w:rsidR="000F301B" w:rsidRDefault="000F301B" w:rsidP="00E129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F301B" w:rsidRPr="006F01CA" w:rsidTr="006F6A44">
        <w:trPr>
          <w:gridAfter w:val="1"/>
          <w:wAfter w:w="408" w:type="dxa"/>
          <w:trHeight w:val="230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0F301B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0F301B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0F301B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0F301B" w:rsidRPr="006F01CA" w:rsidRDefault="000F301B" w:rsidP="00E129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0F301B" w:rsidRPr="006F01CA" w:rsidRDefault="000F301B" w:rsidP="00B21C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областной </w:t>
            </w:r>
            <w:proofErr w:type="spellStart"/>
            <w:r>
              <w:rPr>
                <w:bCs/>
              </w:rPr>
              <w:t>б-т</w:t>
            </w:r>
            <w:proofErr w:type="spellEnd"/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0F301B" w:rsidRPr="001B6A69" w:rsidRDefault="000F301B" w:rsidP="00B21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2150,4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  <w:vAlign w:val="center"/>
            <w:hideMark/>
          </w:tcPr>
          <w:p w:rsidR="000F301B" w:rsidRDefault="000F301B" w:rsidP="00E129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B6A69" w:rsidRPr="006F01CA" w:rsidTr="000F301B">
        <w:trPr>
          <w:gridAfter w:val="1"/>
          <w:wAfter w:w="408" w:type="dxa"/>
          <w:trHeight w:val="332"/>
        </w:trPr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0F301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vAlign w:val="center"/>
            <w:hideMark/>
          </w:tcPr>
          <w:p w:rsidR="001B6A69" w:rsidRPr="000F301B" w:rsidRDefault="000F301B" w:rsidP="000F301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1B6A69" w:rsidRPr="000F301B">
              <w:rPr>
                <w:bCs/>
                <w:sz w:val="22"/>
                <w:szCs w:val="22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1134" w:type="dxa"/>
            <w:vAlign w:val="center"/>
            <w:hideMark/>
          </w:tcPr>
          <w:p w:rsidR="001B6A69" w:rsidRPr="006F01CA" w:rsidRDefault="001B6A69" w:rsidP="001B6A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7356,3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10718,4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8811,4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12030,8</w:t>
            </w:r>
          </w:p>
        </w:tc>
        <w:tc>
          <w:tcPr>
            <w:tcW w:w="1134" w:type="dxa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31560,6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B6A69" w:rsidRPr="001B6A69" w:rsidRDefault="001B6A69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1B6A69" w:rsidRPr="006F01CA" w:rsidTr="001B6A69">
        <w:trPr>
          <w:gridAfter w:val="1"/>
          <w:wAfter w:w="408" w:type="dxa"/>
          <w:trHeight w:val="255"/>
        </w:trPr>
        <w:tc>
          <w:tcPr>
            <w:tcW w:w="317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B6A69" w:rsidRPr="006F01CA" w:rsidRDefault="001B6A69" w:rsidP="001B6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1B6A69" w:rsidRPr="006F01CA" w:rsidRDefault="001B6A69" w:rsidP="001B6A6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б-т</w:t>
            </w:r>
            <w:proofErr w:type="spellEnd"/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Кувшиновский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9880,4</w:t>
            </w:r>
          </w:p>
        </w:tc>
        <w:tc>
          <w:tcPr>
            <w:tcW w:w="1134" w:type="dxa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9880,4</w:t>
            </w:r>
          </w:p>
        </w:tc>
        <w:tc>
          <w:tcPr>
            <w:tcW w:w="851" w:type="dxa"/>
            <w:vMerge/>
            <w:vAlign w:val="center"/>
            <w:hideMark/>
          </w:tcPr>
          <w:p w:rsidR="001B6A69" w:rsidRPr="001B6A69" w:rsidRDefault="001B6A69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6A69" w:rsidRPr="006F01CA" w:rsidTr="000F301B">
        <w:trPr>
          <w:gridAfter w:val="1"/>
          <w:wAfter w:w="408" w:type="dxa"/>
          <w:trHeight w:val="491"/>
        </w:trPr>
        <w:tc>
          <w:tcPr>
            <w:tcW w:w="317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vAlign w:val="center"/>
            <w:hideMark/>
          </w:tcPr>
          <w:p w:rsidR="001B6A69" w:rsidRPr="006F01CA" w:rsidRDefault="001B6A69" w:rsidP="001B6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1B6A69" w:rsidRPr="006F01CA" w:rsidRDefault="001B6A69" w:rsidP="001B6A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областной </w:t>
            </w:r>
            <w:proofErr w:type="spellStart"/>
            <w:r>
              <w:rPr>
                <w:bCs/>
              </w:rPr>
              <w:t>б-т</w:t>
            </w:r>
            <w:proofErr w:type="spellEnd"/>
          </w:p>
        </w:tc>
        <w:tc>
          <w:tcPr>
            <w:tcW w:w="1134" w:type="dxa"/>
            <w:gridSpan w:val="4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2150,4</w:t>
            </w:r>
          </w:p>
        </w:tc>
        <w:tc>
          <w:tcPr>
            <w:tcW w:w="1134" w:type="dxa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2150,4</w:t>
            </w:r>
          </w:p>
        </w:tc>
        <w:tc>
          <w:tcPr>
            <w:tcW w:w="851" w:type="dxa"/>
            <w:vMerge/>
            <w:vAlign w:val="center"/>
            <w:hideMark/>
          </w:tcPr>
          <w:p w:rsidR="001B6A69" w:rsidRPr="001B6A69" w:rsidRDefault="001B6A69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B6A69" w:rsidRPr="006F01CA" w:rsidTr="00432D1F">
        <w:trPr>
          <w:gridAfter w:val="1"/>
          <w:wAfter w:w="408" w:type="dxa"/>
          <w:trHeight w:val="960"/>
        </w:trPr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1B6A69" w:rsidRPr="006F01CA" w:rsidRDefault="001B6A69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134" w:type="dxa"/>
            <w:vAlign w:val="center"/>
            <w:hideMark/>
          </w:tcPr>
          <w:p w:rsidR="001B6A69" w:rsidRPr="006F01CA" w:rsidRDefault="001B6A69" w:rsidP="00B21C7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б-т</w:t>
            </w:r>
            <w:proofErr w:type="spellEnd"/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Кувшиновский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1342,2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1344,3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1430,8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1285,2</w:t>
            </w:r>
          </w:p>
        </w:tc>
        <w:tc>
          <w:tcPr>
            <w:tcW w:w="1134" w:type="dxa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4060,3</w:t>
            </w:r>
          </w:p>
        </w:tc>
        <w:tc>
          <w:tcPr>
            <w:tcW w:w="851" w:type="dxa"/>
            <w:vAlign w:val="center"/>
            <w:hideMark/>
          </w:tcPr>
          <w:p w:rsidR="001B6A69" w:rsidRPr="001B6A69" w:rsidRDefault="001B6A69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1B6A69" w:rsidRPr="006F01CA" w:rsidTr="000A2443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1B6A69" w:rsidRPr="006F01CA" w:rsidRDefault="001B6A69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134" w:type="dxa"/>
            <w:vAlign w:val="center"/>
            <w:hideMark/>
          </w:tcPr>
          <w:p w:rsidR="001B6A69" w:rsidRPr="006F01CA" w:rsidRDefault="001B6A69" w:rsidP="00B21C7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б-т</w:t>
            </w:r>
            <w:proofErr w:type="spellEnd"/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Кувшиновский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6014,1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6576,9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7380,6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7352,1</w:t>
            </w:r>
          </w:p>
        </w:tc>
        <w:tc>
          <w:tcPr>
            <w:tcW w:w="1134" w:type="dxa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21309,6</w:t>
            </w:r>
          </w:p>
        </w:tc>
        <w:tc>
          <w:tcPr>
            <w:tcW w:w="851" w:type="dxa"/>
            <w:vAlign w:val="center"/>
            <w:hideMark/>
          </w:tcPr>
          <w:p w:rsidR="001B6A69" w:rsidRPr="001B6A69" w:rsidRDefault="001B6A69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1B6A69" w:rsidRPr="006F01CA" w:rsidTr="00E12947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1B6A69" w:rsidRPr="006F01CA" w:rsidRDefault="001B6A69" w:rsidP="00E1294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134" w:type="dxa"/>
            <w:hideMark/>
          </w:tcPr>
          <w:p w:rsidR="001B6A69" w:rsidRPr="006F01C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B6A69" w:rsidRPr="001B6A69" w:rsidRDefault="001B6A69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1B6A69" w:rsidRPr="006F01CA" w:rsidTr="001B1C87">
        <w:trPr>
          <w:gridAfter w:val="1"/>
          <w:wAfter w:w="408" w:type="dxa"/>
          <w:trHeight w:val="383"/>
        </w:trPr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7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1B6A69" w:rsidRPr="006F01CA" w:rsidRDefault="001B6A69" w:rsidP="001B6A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1.04  Укрепление материально-технической </w:t>
            </w:r>
            <w:r w:rsidRPr="006F01CA">
              <w:rPr>
                <w:bCs/>
                <w:sz w:val="22"/>
                <w:szCs w:val="22"/>
              </w:rPr>
              <w:lastRenderedPageBreak/>
              <w:t xml:space="preserve">базы </w:t>
            </w:r>
            <w:r>
              <w:rPr>
                <w:bCs/>
                <w:sz w:val="22"/>
                <w:szCs w:val="22"/>
              </w:rPr>
              <w:t>муниципальных общеобразовательных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1B6A69" w:rsidRPr="006F01CA" w:rsidRDefault="001B6A69" w:rsidP="00B21C7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б-т</w:t>
            </w:r>
            <w:proofErr w:type="spellEnd"/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Кувшино</w:t>
            </w:r>
            <w:r>
              <w:rPr>
                <w:bCs/>
              </w:rPr>
              <w:lastRenderedPageBreak/>
              <w:t>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2797,2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954,8</w:t>
            </w:r>
          </w:p>
        </w:tc>
        <w:tc>
          <w:tcPr>
            <w:tcW w:w="1134" w:type="dxa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3752,0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B6A69" w:rsidRPr="001B6A69" w:rsidRDefault="001B6A69" w:rsidP="00E12947">
            <w:pPr>
              <w:jc w:val="right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1B6A69" w:rsidRPr="006F01CA" w:rsidTr="00E12947">
        <w:trPr>
          <w:gridAfter w:val="1"/>
          <w:wAfter w:w="408" w:type="dxa"/>
          <w:trHeight w:val="382"/>
        </w:trPr>
        <w:tc>
          <w:tcPr>
            <w:tcW w:w="317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1B6A69" w:rsidRPr="00830E3A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1B6A69" w:rsidRDefault="001B6A69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1B6A69" w:rsidRPr="006F01CA" w:rsidRDefault="001B6A69" w:rsidP="001B6A6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hideMark/>
          </w:tcPr>
          <w:p w:rsidR="001B6A69" w:rsidRPr="006F01CA" w:rsidRDefault="001B6A69" w:rsidP="001B6A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областной </w:t>
            </w:r>
            <w:proofErr w:type="spellStart"/>
            <w:r>
              <w:rPr>
                <w:bCs/>
              </w:rPr>
              <w:t>б-т</w:t>
            </w:r>
            <w:proofErr w:type="spellEnd"/>
          </w:p>
        </w:tc>
        <w:tc>
          <w:tcPr>
            <w:tcW w:w="1134" w:type="dxa"/>
            <w:gridSpan w:val="4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1735,4</w:t>
            </w:r>
          </w:p>
        </w:tc>
        <w:tc>
          <w:tcPr>
            <w:tcW w:w="1134" w:type="dxa"/>
            <w:vAlign w:val="center"/>
            <w:hideMark/>
          </w:tcPr>
          <w:p w:rsidR="001B6A69" w:rsidRPr="001B6A69" w:rsidRDefault="001B6A69" w:rsidP="001B6A69">
            <w:pPr>
              <w:jc w:val="center"/>
              <w:rPr>
                <w:color w:val="000000"/>
                <w:sz w:val="22"/>
                <w:szCs w:val="22"/>
              </w:rPr>
            </w:pPr>
            <w:r w:rsidRPr="001B6A69">
              <w:rPr>
                <w:color w:val="000000"/>
                <w:sz w:val="22"/>
                <w:szCs w:val="22"/>
              </w:rPr>
              <w:t>1735,4</w:t>
            </w:r>
          </w:p>
        </w:tc>
        <w:tc>
          <w:tcPr>
            <w:tcW w:w="851" w:type="dxa"/>
            <w:vMerge/>
            <w:vAlign w:val="center"/>
            <w:hideMark/>
          </w:tcPr>
          <w:p w:rsidR="001B6A69" w:rsidRPr="001B6A69" w:rsidRDefault="001B6A69" w:rsidP="00E12947">
            <w:pPr>
              <w:jc w:val="right"/>
              <w:rPr>
                <w:color w:val="000000"/>
              </w:rPr>
            </w:pPr>
          </w:p>
        </w:tc>
      </w:tr>
      <w:tr w:rsidR="002A159B" w:rsidRPr="006F01CA" w:rsidTr="00497218">
        <w:trPr>
          <w:gridAfter w:val="1"/>
          <w:wAfter w:w="408" w:type="dxa"/>
          <w:trHeight w:val="382"/>
        </w:trPr>
        <w:tc>
          <w:tcPr>
            <w:tcW w:w="317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2A159B" w:rsidRPr="00830E3A" w:rsidRDefault="002A159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2A159B" w:rsidRPr="002A159B" w:rsidRDefault="002A159B" w:rsidP="001B6A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A159B">
              <w:rPr>
                <w:bCs/>
                <w:sz w:val="22"/>
                <w:szCs w:val="22"/>
              </w:rPr>
              <w:t xml:space="preserve">1.05. </w:t>
            </w:r>
            <w:r>
              <w:rPr>
                <w:bCs/>
                <w:sz w:val="22"/>
                <w:szCs w:val="22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2A159B" w:rsidRPr="006F01CA" w:rsidRDefault="002A159B" w:rsidP="00B21C7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б-т</w:t>
            </w:r>
            <w:proofErr w:type="spellEnd"/>
            <w:r>
              <w:rPr>
                <w:bCs/>
              </w:rPr>
              <w:t xml:space="preserve"> МО «</w:t>
            </w:r>
            <w:proofErr w:type="spellStart"/>
            <w:r>
              <w:rPr>
                <w:bCs/>
              </w:rPr>
              <w:t>Кувшиновский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2A159B" w:rsidRPr="002A159B" w:rsidRDefault="002A159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2A159B" w:rsidRPr="002A159B" w:rsidRDefault="002A159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2A159B" w:rsidRPr="002A159B" w:rsidRDefault="002A159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A159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288,3</w:t>
            </w:r>
          </w:p>
        </w:tc>
        <w:tc>
          <w:tcPr>
            <w:tcW w:w="1134" w:type="dxa"/>
            <w:vAlign w:val="center"/>
            <w:hideMark/>
          </w:tcPr>
          <w:p w:rsidR="002A159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288,3</w:t>
            </w:r>
          </w:p>
        </w:tc>
        <w:tc>
          <w:tcPr>
            <w:tcW w:w="851" w:type="dxa"/>
            <w:vAlign w:val="center"/>
            <w:hideMark/>
          </w:tcPr>
          <w:p w:rsidR="002A159B" w:rsidRPr="002A159B" w:rsidRDefault="000F301B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2A159B" w:rsidRPr="006F01CA" w:rsidTr="00E12947">
        <w:trPr>
          <w:gridAfter w:val="1"/>
          <w:wAfter w:w="408" w:type="dxa"/>
          <w:trHeight w:val="382"/>
        </w:trPr>
        <w:tc>
          <w:tcPr>
            <w:tcW w:w="317" w:type="dxa"/>
            <w:vMerge/>
            <w:hideMark/>
          </w:tcPr>
          <w:p w:rsidR="002A159B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2A159B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2A159B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2A159B" w:rsidRPr="00830E3A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2A159B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2A159B" w:rsidRPr="00830E3A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2A159B" w:rsidRPr="00830E3A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2A159B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2A159B" w:rsidRPr="00830E3A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2A159B" w:rsidRDefault="002A159B" w:rsidP="00E129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2A159B" w:rsidRPr="002A159B" w:rsidRDefault="002A159B" w:rsidP="001B6A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A159B" w:rsidRPr="006F01CA" w:rsidRDefault="002A159B" w:rsidP="00B21C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областной </w:t>
            </w:r>
            <w:proofErr w:type="spellStart"/>
            <w:r>
              <w:rPr>
                <w:bCs/>
              </w:rPr>
              <w:t>б-т</w:t>
            </w:r>
            <w:proofErr w:type="spellEnd"/>
          </w:p>
        </w:tc>
        <w:tc>
          <w:tcPr>
            <w:tcW w:w="1134" w:type="dxa"/>
            <w:gridSpan w:val="4"/>
            <w:vAlign w:val="center"/>
            <w:hideMark/>
          </w:tcPr>
          <w:p w:rsidR="002A159B" w:rsidRPr="002A159B" w:rsidRDefault="002A159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2A159B" w:rsidRPr="002A159B" w:rsidRDefault="002A159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2A159B" w:rsidRPr="002A159B" w:rsidRDefault="002A159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A159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288,3</w:t>
            </w:r>
          </w:p>
        </w:tc>
        <w:tc>
          <w:tcPr>
            <w:tcW w:w="1134" w:type="dxa"/>
            <w:vAlign w:val="center"/>
            <w:hideMark/>
          </w:tcPr>
          <w:p w:rsidR="002A159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288,3</w:t>
            </w:r>
          </w:p>
        </w:tc>
        <w:tc>
          <w:tcPr>
            <w:tcW w:w="851" w:type="dxa"/>
            <w:vAlign w:val="center"/>
            <w:hideMark/>
          </w:tcPr>
          <w:p w:rsidR="002A159B" w:rsidRPr="002A159B" w:rsidRDefault="002A159B" w:rsidP="00E129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301B" w:rsidRPr="006F01CA" w:rsidTr="000F301B">
        <w:trPr>
          <w:gridAfter w:val="1"/>
          <w:wAfter w:w="408" w:type="dxa"/>
          <w:trHeight w:val="382"/>
        </w:trPr>
        <w:tc>
          <w:tcPr>
            <w:tcW w:w="317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0F301B" w:rsidRPr="00830E3A" w:rsidRDefault="000F301B" w:rsidP="00B21C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0F301B" w:rsidRPr="002A159B" w:rsidRDefault="000F301B" w:rsidP="001B6A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1.06. Организация посещения </w:t>
            </w:r>
            <w:proofErr w:type="gramStart"/>
            <w:r>
              <w:rPr>
                <w:bCs/>
                <w:sz w:val="22"/>
                <w:szCs w:val="22"/>
              </w:rPr>
              <w:t>обучающимися</w:t>
            </w:r>
            <w:proofErr w:type="gramEnd"/>
            <w:r>
              <w:rPr>
                <w:bCs/>
                <w:sz w:val="22"/>
                <w:szCs w:val="22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Дворец» в части подвоза учащихся</w:t>
            </w:r>
          </w:p>
        </w:tc>
        <w:tc>
          <w:tcPr>
            <w:tcW w:w="1134" w:type="dxa"/>
            <w:vAlign w:val="center"/>
            <w:hideMark/>
          </w:tcPr>
          <w:p w:rsidR="000F301B" w:rsidRPr="002A159B" w:rsidRDefault="000F301B" w:rsidP="000F301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областной </w:t>
            </w:r>
            <w:proofErr w:type="spellStart"/>
            <w:r>
              <w:rPr>
                <w:bCs/>
              </w:rPr>
              <w:t>б-т</w:t>
            </w:r>
            <w:proofErr w:type="spellEnd"/>
          </w:p>
        </w:tc>
        <w:tc>
          <w:tcPr>
            <w:tcW w:w="1134" w:type="dxa"/>
            <w:gridSpan w:val="4"/>
            <w:vAlign w:val="center"/>
            <w:hideMark/>
          </w:tcPr>
          <w:p w:rsidR="000F301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0F301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0F301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F301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34" w:type="dxa"/>
            <w:vAlign w:val="center"/>
            <w:hideMark/>
          </w:tcPr>
          <w:p w:rsidR="000F301B" w:rsidRPr="002A159B" w:rsidRDefault="000F301B" w:rsidP="001B6A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851" w:type="dxa"/>
            <w:vAlign w:val="center"/>
            <w:hideMark/>
          </w:tcPr>
          <w:p w:rsidR="000F301B" w:rsidRPr="002A159B" w:rsidRDefault="008D3FCA" w:rsidP="00E129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</w:tbl>
    <w:p w:rsidR="00F12A64" w:rsidRPr="001C2AA2" w:rsidRDefault="00F12A64">
      <w:pPr>
        <w:rPr>
          <w:rFonts w:ascii="Times New Roman" w:hAnsi="Times New Roman" w:cs="Times New Roman"/>
        </w:rPr>
      </w:pPr>
    </w:p>
    <w:sectPr w:rsidR="00F12A64" w:rsidRPr="001C2AA2" w:rsidSect="001C2AA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723413C"/>
    <w:multiLevelType w:val="hybridMultilevel"/>
    <w:tmpl w:val="43B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4">
    <w:nsid w:val="794B002B"/>
    <w:multiLevelType w:val="hybridMultilevel"/>
    <w:tmpl w:val="B06497AA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20"/>
  </w:num>
  <w:num w:numId="6">
    <w:abstractNumId w:val="17"/>
  </w:num>
  <w:num w:numId="7">
    <w:abstractNumId w:val="21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23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5"/>
  </w:num>
  <w:num w:numId="20">
    <w:abstractNumId w:val="0"/>
  </w:num>
  <w:num w:numId="21">
    <w:abstractNumId w:val="22"/>
  </w:num>
  <w:num w:numId="22">
    <w:abstractNumId w:val="24"/>
  </w:num>
  <w:num w:numId="23">
    <w:abstractNumId w:val="12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AA2"/>
    <w:rsid w:val="000F301B"/>
    <w:rsid w:val="001817CF"/>
    <w:rsid w:val="001B6A69"/>
    <w:rsid w:val="001C2AA2"/>
    <w:rsid w:val="001D0390"/>
    <w:rsid w:val="002A159B"/>
    <w:rsid w:val="002E5F3B"/>
    <w:rsid w:val="00781090"/>
    <w:rsid w:val="00813727"/>
    <w:rsid w:val="00893F22"/>
    <w:rsid w:val="008D3FCA"/>
    <w:rsid w:val="00B07AF6"/>
    <w:rsid w:val="00C936F6"/>
    <w:rsid w:val="00E12947"/>
    <w:rsid w:val="00F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90"/>
  </w:style>
  <w:style w:type="paragraph" w:styleId="1">
    <w:name w:val="heading 1"/>
    <w:basedOn w:val="a"/>
    <w:next w:val="a"/>
    <w:link w:val="10"/>
    <w:uiPriority w:val="99"/>
    <w:qFormat/>
    <w:rsid w:val="001C2A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A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AA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2A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C2AA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1C2AA2"/>
    <w:rPr>
      <w:color w:val="0000FF"/>
      <w:u w:val="single"/>
    </w:rPr>
  </w:style>
  <w:style w:type="paragraph" w:styleId="a4">
    <w:name w:val="No Spacing"/>
    <w:basedOn w:val="a"/>
    <w:uiPriority w:val="1"/>
    <w:qFormat/>
    <w:rsid w:val="001C2AA2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customStyle="1" w:styleId="ConsPlusNormal">
    <w:name w:val="ConsPlusNormal"/>
    <w:rsid w:val="001C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1C2AA2"/>
    <w:rPr>
      <w:b/>
      <w:bCs w:val="0"/>
      <w:color w:val="26282F"/>
    </w:rPr>
  </w:style>
  <w:style w:type="paragraph" w:customStyle="1" w:styleId="a6">
    <w:name w:val="Знак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1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C2AA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C2AA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1C2A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C2AA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d">
    <w:name w:val="caption"/>
    <w:basedOn w:val="a"/>
    <w:next w:val="a"/>
    <w:uiPriority w:val="99"/>
    <w:qFormat/>
    <w:rsid w:val="001C2AA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1C2AA2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C2A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1C2AA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C2AA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5"/>
      <w:szCs w:val="15"/>
    </w:rPr>
  </w:style>
  <w:style w:type="paragraph" w:customStyle="1" w:styleId="xl67">
    <w:name w:val="xl6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0">
    <w:name w:val="xl7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1">
    <w:name w:val="xl7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4">
    <w:name w:val="xl7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6">
    <w:name w:val="xl7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7">
    <w:name w:val="xl7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9">
    <w:name w:val="xl7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2">
    <w:name w:val="xl8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3">
    <w:name w:val="xl8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4">
    <w:name w:val="xl8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8">
    <w:name w:val="xl8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2">
    <w:name w:val="xl9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3">
    <w:name w:val="xl9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94">
    <w:name w:val="xl94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8">
    <w:name w:val="xl98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9">
    <w:name w:val="xl9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00">
    <w:name w:val="xl100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Обычный (паспорт)"/>
    <w:basedOn w:val="a"/>
    <w:uiPriority w:val="99"/>
    <w:rsid w:val="001C2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1C2A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е вступил в силу"/>
    <w:uiPriority w:val="99"/>
    <w:rsid w:val="001C2AA2"/>
    <w:rPr>
      <w:b/>
      <w:color w:val="000000"/>
      <w:sz w:val="26"/>
      <w:shd w:val="clear" w:color="auto" w:fill="auto"/>
    </w:rPr>
  </w:style>
  <w:style w:type="paragraph" w:styleId="af3">
    <w:name w:val="header"/>
    <w:basedOn w:val="a"/>
    <w:link w:val="af4"/>
    <w:uiPriority w:val="99"/>
    <w:semiHidden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C2A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1C2AA2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1C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1C2AA2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C2AA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C2AA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C2AA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C2AA2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1C2AA2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C2A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C2A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C2AA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C2A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0">
    <w:name w:val="xl170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2">
    <w:name w:val="xl172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B7A6-FBEC-4FBC-9225-3E67358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6</cp:revision>
  <cp:lastPrinted>2017-08-25T07:25:00Z</cp:lastPrinted>
  <dcterms:created xsi:type="dcterms:W3CDTF">2017-08-24T13:14:00Z</dcterms:created>
  <dcterms:modified xsi:type="dcterms:W3CDTF">2017-08-25T07:27:00Z</dcterms:modified>
</cp:coreProperties>
</file>